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3E876" w14:textId="77777777" w:rsidR="00B40921" w:rsidRPr="00B40921" w:rsidRDefault="00B40921" w:rsidP="00B40921">
      <w:pPr>
        <w:jc w:val="center"/>
        <w:rPr>
          <w:b/>
          <w:bCs/>
          <w:lang w:val="en-US"/>
        </w:rPr>
      </w:pPr>
      <w:bookmarkStart w:id="0" w:name="_GoBack"/>
      <w:bookmarkEnd w:id="0"/>
      <w:r w:rsidRPr="00B40921">
        <w:rPr>
          <w:b/>
          <w:bCs/>
          <w:lang w:val="en-US"/>
        </w:rPr>
        <w:t>Discover the Final Results of the "All you need is t(h)</w:t>
      </w:r>
      <w:proofErr w:type="spellStart"/>
      <w:r w:rsidRPr="00B40921">
        <w:rPr>
          <w:b/>
          <w:bCs/>
          <w:lang w:val="en-US"/>
        </w:rPr>
        <w:t>ree</w:t>
      </w:r>
      <w:proofErr w:type="spellEnd"/>
      <w:r w:rsidRPr="00B40921">
        <w:rPr>
          <w:b/>
          <w:bCs/>
          <w:lang w:val="en-US"/>
        </w:rPr>
        <w:t>" Project</w:t>
      </w:r>
    </w:p>
    <w:p w14:paraId="3A69CF6F" w14:textId="77777777" w:rsidR="00B40921" w:rsidRPr="00B40921" w:rsidRDefault="00B40921" w:rsidP="00B40921">
      <w:pPr>
        <w:jc w:val="both"/>
        <w:rPr>
          <w:lang w:val="en-US"/>
        </w:rPr>
      </w:pPr>
      <w:r w:rsidRPr="00B40921">
        <w:rPr>
          <w:lang w:val="en-US"/>
        </w:rPr>
        <w:t xml:space="preserve">We are delighted to present the two main outputs of the </w:t>
      </w:r>
      <w:r w:rsidRPr="00B40921">
        <w:rPr>
          <w:b/>
          <w:bCs/>
          <w:lang w:val="en-US"/>
        </w:rPr>
        <w:t>"All you need is t(h)</w:t>
      </w:r>
      <w:proofErr w:type="spellStart"/>
      <w:r w:rsidRPr="00B40921">
        <w:rPr>
          <w:b/>
          <w:bCs/>
          <w:lang w:val="en-US"/>
        </w:rPr>
        <w:t>ree</w:t>
      </w:r>
      <w:proofErr w:type="spellEnd"/>
      <w:r w:rsidRPr="00B40921">
        <w:rPr>
          <w:b/>
          <w:bCs/>
          <w:lang w:val="en-US"/>
        </w:rPr>
        <w:t>: physical activity, social activity, and mental well-being"</w:t>
      </w:r>
      <w:r w:rsidRPr="00B40921">
        <w:rPr>
          <w:lang w:val="en-US"/>
        </w:rPr>
        <w:t xml:space="preserve"> project, created through the collaboration of partner </w:t>
      </w:r>
      <w:proofErr w:type="spellStart"/>
      <w:r w:rsidRPr="00B40921">
        <w:rPr>
          <w:lang w:val="en-US"/>
        </w:rPr>
        <w:t>organisations</w:t>
      </w:r>
      <w:proofErr w:type="spellEnd"/>
      <w:r w:rsidRPr="00B40921">
        <w:rPr>
          <w:lang w:val="en-US"/>
        </w:rPr>
        <w:t xml:space="preserve"> from Poland, Spain, and Slovenia.</w:t>
      </w:r>
    </w:p>
    <w:p w14:paraId="0847A3A1" w14:textId="77777777" w:rsidR="00B40921" w:rsidRPr="00B40921" w:rsidRDefault="00B40921" w:rsidP="00B40921">
      <w:pPr>
        <w:jc w:val="both"/>
        <w:rPr>
          <w:lang w:val="en-US"/>
        </w:rPr>
      </w:pPr>
      <w:r w:rsidRPr="00B40921">
        <w:rPr>
          <w:lang w:val="en-US"/>
        </w:rPr>
        <w:t xml:space="preserve">Working together, the project partners have developed practical resources aimed at supporting people aged 60+, as well as educators, institutions, and </w:t>
      </w:r>
      <w:proofErr w:type="spellStart"/>
      <w:r w:rsidRPr="00B40921">
        <w:rPr>
          <w:lang w:val="en-US"/>
        </w:rPr>
        <w:t>organisations</w:t>
      </w:r>
      <w:proofErr w:type="spellEnd"/>
      <w:r w:rsidRPr="00B40921">
        <w:rPr>
          <w:lang w:val="en-US"/>
        </w:rPr>
        <w:t xml:space="preserve"> involved in promoting active and healthy ageing.</w:t>
      </w:r>
    </w:p>
    <w:p w14:paraId="3F5D03D9" w14:textId="77777777" w:rsidR="00B40921" w:rsidRPr="00B40921" w:rsidRDefault="00B40921" w:rsidP="00B40921">
      <w:pPr>
        <w:jc w:val="both"/>
        <w:rPr>
          <w:lang w:val="en-US"/>
        </w:rPr>
      </w:pPr>
      <w:r w:rsidRPr="00B40921">
        <w:rPr>
          <w:lang w:val="en-US"/>
        </w:rPr>
        <w:t>We invite you to discover:</w:t>
      </w:r>
    </w:p>
    <w:p w14:paraId="6E6963B0" w14:textId="77777777" w:rsidR="00B40921" w:rsidRPr="00B40921" w:rsidRDefault="00B40921" w:rsidP="00B40921">
      <w:pPr>
        <w:numPr>
          <w:ilvl w:val="0"/>
          <w:numId w:val="1"/>
        </w:numPr>
        <w:jc w:val="both"/>
        <w:rPr>
          <w:lang w:val="en-US"/>
        </w:rPr>
      </w:pPr>
      <w:r w:rsidRPr="00B40921">
        <w:rPr>
          <w:b/>
          <w:bCs/>
          <w:lang w:val="en-US"/>
        </w:rPr>
        <w:t>the T(h)</w:t>
      </w:r>
      <w:proofErr w:type="spellStart"/>
      <w:r w:rsidRPr="00B40921">
        <w:rPr>
          <w:b/>
          <w:bCs/>
          <w:lang w:val="en-US"/>
        </w:rPr>
        <w:t>ree</w:t>
      </w:r>
      <w:proofErr w:type="spellEnd"/>
      <w:r w:rsidRPr="00B40921">
        <w:rPr>
          <w:b/>
          <w:bCs/>
          <w:lang w:val="en-US"/>
        </w:rPr>
        <w:t xml:space="preserve"> Tool</w:t>
      </w:r>
      <w:r w:rsidRPr="00B40921">
        <w:rPr>
          <w:lang w:val="en-US"/>
        </w:rPr>
        <w:t xml:space="preserve"> – an innovative resource that encourages older adults to develop and monitor the three essential pillars of healthy ageing: </w:t>
      </w:r>
      <w:r w:rsidRPr="00B40921">
        <w:rPr>
          <w:b/>
          <w:bCs/>
          <w:lang w:val="en-US"/>
        </w:rPr>
        <w:t>physical activity, social engagement, and mental well-being</w:t>
      </w:r>
      <w:r w:rsidRPr="00B40921">
        <w:rPr>
          <w:lang w:val="en-US"/>
        </w:rPr>
        <w:t>;</w:t>
      </w:r>
    </w:p>
    <w:p w14:paraId="5C223831" w14:textId="77777777" w:rsidR="00B40921" w:rsidRPr="00B40921" w:rsidRDefault="00B40921" w:rsidP="00B40921">
      <w:pPr>
        <w:numPr>
          <w:ilvl w:val="0"/>
          <w:numId w:val="1"/>
        </w:numPr>
        <w:jc w:val="both"/>
        <w:rPr>
          <w:lang w:val="en-US"/>
        </w:rPr>
      </w:pPr>
      <w:r w:rsidRPr="00B40921">
        <w:rPr>
          <w:b/>
          <w:bCs/>
          <w:lang w:val="en-US"/>
        </w:rPr>
        <w:t>the Educators' Guide</w:t>
      </w:r>
      <w:r w:rsidRPr="00B40921">
        <w:rPr>
          <w:lang w:val="en-US"/>
        </w:rPr>
        <w:t xml:space="preserve"> – a practical publication offering educational methods, activity ideas, and useful guidance for professionals working with older adults.</w:t>
      </w:r>
    </w:p>
    <w:p w14:paraId="27D2A750" w14:textId="77777777" w:rsidR="00B40921" w:rsidRPr="00B40921" w:rsidRDefault="00B40921" w:rsidP="00B40921">
      <w:pPr>
        <w:jc w:val="both"/>
        <w:rPr>
          <w:lang w:val="en-US"/>
        </w:rPr>
      </w:pPr>
      <w:r w:rsidRPr="00B40921">
        <w:rPr>
          <w:lang w:val="en-US"/>
        </w:rPr>
        <w:t xml:space="preserve">These resources are the result of the partners' shared expertise, international exchange of good practices, and the application of contemporary educational approaches. They are available </w:t>
      </w:r>
      <w:r w:rsidRPr="00B40921">
        <w:rPr>
          <w:b/>
          <w:bCs/>
          <w:lang w:val="en-US"/>
        </w:rPr>
        <w:t>free of charge</w:t>
      </w:r>
      <w:r w:rsidRPr="00B40921">
        <w:rPr>
          <w:lang w:val="en-US"/>
        </w:rPr>
        <w:t xml:space="preserve"> and may be used by anyone interested in supporting older adults and promoting active ageing.</w:t>
      </w:r>
    </w:p>
    <w:p w14:paraId="57697709" w14:textId="77777777" w:rsidR="00B40921" w:rsidRPr="00B40921" w:rsidRDefault="00B40921" w:rsidP="00B40921">
      <w:pPr>
        <w:jc w:val="both"/>
        <w:rPr>
          <w:lang w:val="en-US"/>
        </w:rPr>
      </w:pPr>
      <w:r w:rsidRPr="00B40921">
        <w:rPr>
          <w:lang w:val="en-US"/>
        </w:rPr>
        <w:t xml:space="preserve">Both publications are attached to this article. Over the coming weeks, they will also be distributed by email to </w:t>
      </w:r>
      <w:proofErr w:type="spellStart"/>
      <w:r w:rsidRPr="00B40921">
        <w:rPr>
          <w:lang w:val="en-US"/>
        </w:rPr>
        <w:t>organisations</w:t>
      </w:r>
      <w:proofErr w:type="spellEnd"/>
      <w:r w:rsidRPr="00B40921">
        <w:rPr>
          <w:lang w:val="en-US"/>
        </w:rPr>
        <w:t>, institutions, and educators working with people aged 60+, making them easily accessible for use in educational and community activities.</w:t>
      </w:r>
    </w:p>
    <w:p w14:paraId="04087F59" w14:textId="77777777" w:rsidR="00B40921" w:rsidRPr="00B40921" w:rsidRDefault="00B40921" w:rsidP="00B40921">
      <w:pPr>
        <w:jc w:val="both"/>
        <w:rPr>
          <w:lang w:val="en-US"/>
        </w:rPr>
      </w:pPr>
      <w:r w:rsidRPr="00B40921">
        <w:rPr>
          <w:lang w:val="en-US"/>
        </w:rPr>
        <w:t>In the next stage of the project, the T(h)</w:t>
      </w:r>
      <w:proofErr w:type="spellStart"/>
      <w:r w:rsidRPr="00B40921">
        <w:rPr>
          <w:lang w:val="en-US"/>
        </w:rPr>
        <w:t>ree</w:t>
      </w:r>
      <w:proofErr w:type="spellEnd"/>
      <w:r w:rsidRPr="00B40921">
        <w:rPr>
          <w:lang w:val="en-US"/>
        </w:rPr>
        <w:t xml:space="preserve"> Tool and the Educators' Guide will be implemented during workshops for older adults </w:t>
      </w:r>
      <w:proofErr w:type="spellStart"/>
      <w:r w:rsidRPr="00B40921">
        <w:rPr>
          <w:lang w:val="en-US"/>
        </w:rPr>
        <w:t>organised</w:t>
      </w:r>
      <w:proofErr w:type="spellEnd"/>
      <w:r w:rsidRPr="00B40921">
        <w:rPr>
          <w:lang w:val="en-US"/>
        </w:rPr>
        <w:t xml:space="preserve"> by the project partners in Poland, Spain, and Slovenia. We hope these materials will become valuable resources for professionals and </w:t>
      </w:r>
      <w:proofErr w:type="spellStart"/>
      <w:r w:rsidRPr="00B40921">
        <w:rPr>
          <w:lang w:val="en-US"/>
        </w:rPr>
        <w:t>organisations</w:t>
      </w:r>
      <w:proofErr w:type="spellEnd"/>
      <w:r w:rsidRPr="00B40921">
        <w:rPr>
          <w:lang w:val="en-US"/>
        </w:rPr>
        <w:t xml:space="preserve"> working to build more active, healthier, and inclusive communities for older people.</w:t>
      </w:r>
    </w:p>
    <w:p w14:paraId="550A1C19" w14:textId="77777777" w:rsidR="00B40921" w:rsidRPr="00B40921" w:rsidRDefault="00B40921" w:rsidP="00B40921">
      <w:pPr>
        <w:jc w:val="both"/>
        <w:rPr>
          <w:lang w:val="en-US"/>
        </w:rPr>
      </w:pPr>
      <w:r w:rsidRPr="00B40921">
        <w:rPr>
          <w:lang w:val="en-US"/>
        </w:rPr>
        <w:t>We encourage you to explore the materials and make use of them in your own educational activities and initiatives supporting older adults.</w:t>
      </w:r>
    </w:p>
    <w:p w14:paraId="7FE4CFB5" w14:textId="48911EA4" w:rsidR="00B40921" w:rsidRPr="00B40921" w:rsidRDefault="00B40921" w:rsidP="00B40921">
      <w:pPr>
        <w:jc w:val="both"/>
        <w:rPr>
          <w:lang w:val="en-US"/>
        </w:rPr>
      </w:pPr>
    </w:p>
    <w:p w14:paraId="080150C9" w14:textId="77777777" w:rsidR="00B40921" w:rsidRPr="00B40921" w:rsidRDefault="00B40921" w:rsidP="00B40921">
      <w:pPr>
        <w:jc w:val="both"/>
        <w:rPr>
          <w:lang w:val="en-US"/>
        </w:rPr>
      </w:pPr>
      <w:r w:rsidRPr="00B40921">
        <w:rPr>
          <w:b/>
          <w:bCs/>
          <w:lang w:val="en-US"/>
        </w:rPr>
        <w:t>Project:</w:t>
      </w:r>
      <w:r w:rsidRPr="00B40921">
        <w:rPr>
          <w:lang w:val="en-US"/>
        </w:rPr>
        <w:t xml:space="preserve"> </w:t>
      </w:r>
      <w:r w:rsidRPr="00B40921">
        <w:rPr>
          <w:i/>
          <w:iCs/>
          <w:lang w:val="en-US"/>
        </w:rPr>
        <w:t>All you need is t(h)ree: physical activity, social activity, and mental well-being</w:t>
      </w:r>
      <w:r w:rsidRPr="00B40921">
        <w:rPr>
          <w:lang w:val="en-US"/>
        </w:rPr>
        <w:br/>
      </w:r>
      <w:r w:rsidRPr="00B40921">
        <w:rPr>
          <w:b/>
          <w:bCs/>
          <w:lang w:val="en-US"/>
        </w:rPr>
        <w:t>Programme:</w:t>
      </w:r>
      <w:r w:rsidRPr="00B40921">
        <w:rPr>
          <w:lang w:val="en-US"/>
        </w:rPr>
        <w:t xml:space="preserve"> Erasmus+ – Small-scale Partnerships in Adult Education (KA210-ADU)</w:t>
      </w:r>
      <w:r w:rsidRPr="00B40921">
        <w:rPr>
          <w:lang w:val="en-US"/>
        </w:rPr>
        <w:br/>
      </w:r>
      <w:r w:rsidRPr="00B40921">
        <w:rPr>
          <w:b/>
          <w:bCs/>
          <w:lang w:val="en-US"/>
        </w:rPr>
        <w:t>Project Number:</w:t>
      </w:r>
      <w:r w:rsidRPr="00B40921">
        <w:rPr>
          <w:lang w:val="en-US"/>
        </w:rPr>
        <w:t xml:space="preserve"> 2025-1-PL01-KA210-ADU-000353374</w:t>
      </w:r>
    </w:p>
    <w:p w14:paraId="3584F694" w14:textId="77777777" w:rsidR="00B40921" w:rsidRPr="00B40921" w:rsidRDefault="00B40921" w:rsidP="00B40921">
      <w:pPr>
        <w:jc w:val="both"/>
        <w:rPr>
          <w:lang w:val="en-US"/>
        </w:rPr>
      </w:pPr>
      <w:r w:rsidRPr="00B40921">
        <w:rPr>
          <w:b/>
          <w:bCs/>
          <w:lang w:val="en-US"/>
        </w:rPr>
        <w:t>Funded by the European Union.</w:t>
      </w:r>
    </w:p>
    <w:p w14:paraId="645A2901" w14:textId="77777777" w:rsidR="00A30DFB" w:rsidRPr="00B40921" w:rsidRDefault="00A30DFB">
      <w:pPr>
        <w:rPr>
          <w:lang w:val="en-US"/>
        </w:rPr>
      </w:pPr>
    </w:p>
    <w:sectPr w:rsidR="00A30DFB" w:rsidRPr="00B4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37A6A"/>
    <w:multiLevelType w:val="multilevel"/>
    <w:tmpl w:val="F086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21"/>
    <w:rsid w:val="002046AC"/>
    <w:rsid w:val="002B51FB"/>
    <w:rsid w:val="00714300"/>
    <w:rsid w:val="00A30DFB"/>
    <w:rsid w:val="00B40921"/>
    <w:rsid w:val="00F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7AF6"/>
  <w15:chartTrackingRefBased/>
  <w15:docId w15:val="{4AAB0FE9-1023-45D2-B620-F62CA9EC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4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4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40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4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40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4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4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4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4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4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4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40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4092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4092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409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4092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409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409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4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4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4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4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4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4092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4092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4092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4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4092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40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Hąc</dc:creator>
  <cp:keywords/>
  <dc:description/>
  <cp:lastModifiedBy>Mojca</cp:lastModifiedBy>
  <cp:revision>2</cp:revision>
  <dcterms:created xsi:type="dcterms:W3CDTF">2026-06-26T07:51:00Z</dcterms:created>
  <dcterms:modified xsi:type="dcterms:W3CDTF">2026-06-26T07:51:00Z</dcterms:modified>
</cp:coreProperties>
</file>